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D92BB5B"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C71488">
        <w:rPr>
          <w:b/>
          <w:bCs/>
        </w:rPr>
        <w:t>1520</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4A4CF28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8201E1">
        <w:t>24</w:t>
      </w:r>
      <w:r w:rsidR="00C71488">
        <w:t>.07</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228A5A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566B37" w:rsidRPr="00566B37">
        <w:rPr>
          <w:b/>
          <w:bCs/>
          <w:sz w:val="22"/>
          <w:szCs w:val="22"/>
          <w:u w:val="single"/>
          <w:lang w:val="ru-RU"/>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3451B707"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E60FA5" w:rsidRPr="00E60FA5">
        <w:rPr>
          <w:sz w:val="22"/>
          <w:szCs w:val="22"/>
          <w:lang w:val="ru-RU" w:bidi="en-US"/>
        </w:rPr>
        <w:t xml:space="preserve">Республика </w:t>
      </w:r>
      <w:r w:rsidR="00E60FA5" w:rsidRPr="00E60FA5">
        <w:rPr>
          <w:sz w:val="22"/>
          <w:szCs w:val="22"/>
          <w:lang w:val="ru-RU" w:bidi="en-US"/>
        </w:rPr>
        <w:br/>
        <w:t>Марий Эл, г. Йошкар-Ола, ул. Героев Сталинградской битвы</w:t>
      </w:r>
      <w:r w:rsidR="00052D5C" w:rsidRPr="00052D5C">
        <w:rPr>
          <w:bCs/>
          <w:sz w:val="22"/>
          <w:szCs w:val="22"/>
          <w:lang w:val="ru-RU"/>
        </w:rPr>
        <w:t>;</w:t>
      </w:r>
    </w:p>
    <w:p w14:paraId="62812B77" w14:textId="59E49FF9"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E60FA5" w:rsidRPr="00E60FA5">
        <w:rPr>
          <w:bCs/>
          <w:sz w:val="22"/>
          <w:szCs w:val="22"/>
          <w:lang w:val="ru-RU"/>
        </w:rPr>
        <w:t>с момента заключения договора до 31.03.2026 года. Подрядчик, по согласованию с Заказчиком, вправе выполнить работы досрочно</w:t>
      </w:r>
      <w:r w:rsidR="00052D5C" w:rsidRPr="00052D5C">
        <w:rPr>
          <w:bCs/>
          <w:sz w:val="22"/>
          <w:szCs w:val="22"/>
          <w:lang w:val="ru-RU"/>
        </w:rPr>
        <w:t>.</w:t>
      </w:r>
    </w:p>
    <w:p w14:paraId="0BD5B50E" w14:textId="77777777" w:rsidR="00E60FA5" w:rsidRPr="00E60FA5" w:rsidRDefault="00365B18" w:rsidP="00E60FA5">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E60FA5" w:rsidRPr="00E60FA5">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208F9B80" w14:textId="77777777" w:rsidR="00E60FA5" w:rsidRPr="00E60FA5" w:rsidRDefault="00E60FA5" w:rsidP="00E60FA5">
      <w:pPr>
        <w:pStyle w:val="af1"/>
        <w:spacing w:line="276" w:lineRule="auto"/>
        <w:ind w:firstLine="567"/>
        <w:jc w:val="both"/>
        <w:rPr>
          <w:sz w:val="22"/>
          <w:szCs w:val="22"/>
          <w:lang w:val="ru-RU"/>
        </w:rPr>
      </w:pPr>
      <w:r w:rsidRPr="00E60FA5">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04D46EE" w14:textId="30DDFC92" w:rsidR="00E60FA5" w:rsidRPr="00E60FA5" w:rsidRDefault="00566B37" w:rsidP="00E60FA5">
      <w:pPr>
        <w:pStyle w:val="af1"/>
        <w:spacing w:line="276" w:lineRule="auto"/>
        <w:ind w:firstLine="567"/>
        <w:jc w:val="both"/>
        <w:rPr>
          <w:sz w:val="22"/>
          <w:szCs w:val="22"/>
          <w:lang w:val="ru-RU"/>
        </w:rPr>
      </w:pPr>
      <w:r w:rsidRPr="00566B37">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6FA6F299" w:rsidR="00373381" w:rsidRPr="00F7308E" w:rsidRDefault="00E60FA5" w:rsidP="00E60FA5">
      <w:pPr>
        <w:pStyle w:val="af1"/>
        <w:spacing w:line="276" w:lineRule="auto"/>
        <w:ind w:firstLine="567"/>
        <w:jc w:val="both"/>
        <w:rPr>
          <w:sz w:val="22"/>
          <w:szCs w:val="22"/>
          <w:lang w:val="ru-RU"/>
        </w:rPr>
      </w:pPr>
      <w:r w:rsidRPr="00E60FA5">
        <w:rPr>
          <w:sz w:val="22"/>
          <w:szCs w:val="22"/>
          <w:lang w:val="ru-RU"/>
        </w:rPr>
        <w:t xml:space="preserve"> По окончанию земляных работ Подрядчик выполняет работы по благоустройству территории.</w:t>
      </w:r>
    </w:p>
    <w:p w14:paraId="06DDE132" w14:textId="5A7FC548"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7646CA" w:rsidRPr="007646CA">
        <w:rPr>
          <w:b/>
          <w:sz w:val="22"/>
          <w:szCs w:val="22"/>
          <w:lang w:val="ru-RU"/>
        </w:rPr>
        <w:t>541 537 (Пятьсот сорок одна тысяча пятьсот тридцать семь) рублей 54 коп.</w:t>
      </w:r>
    </w:p>
    <w:p w14:paraId="7A700570" w14:textId="46D6DFCD"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052D5C" w:rsidRPr="00052D5C">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6F993F34" w:rsidR="00106CA7" w:rsidRPr="00365B18" w:rsidRDefault="00E60FA5" w:rsidP="00365B18">
                  <w:pPr>
                    <w:ind w:firstLine="155"/>
                    <w:jc w:val="both"/>
                    <w:rPr>
                      <w:sz w:val="21"/>
                      <w:szCs w:val="21"/>
                    </w:rPr>
                  </w:pPr>
                  <w:r>
                    <w:rPr>
                      <w:sz w:val="21"/>
                      <w:szCs w:val="21"/>
                    </w:rPr>
                    <w:t>Отсутствует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17FCF959"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566B37">
        <w:rPr>
          <w:bCs/>
          <w:sz w:val="22"/>
          <w:szCs w:val="22"/>
          <w:lang w:val="ru-RU"/>
        </w:rPr>
        <w:t>в</w:t>
      </w:r>
      <w:r w:rsidR="00566B37" w:rsidRPr="00566B37">
        <w:rPr>
          <w:bCs/>
          <w:sz w:val="22"/>
          <w:szCs w:val="22"/>
          <w:lang w:val="ru-RU"/>
        </w:rPr>
        <w:t>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E3F3EC" w14:textId="3B9FA153" w:rsidR="00E60FA5" w:rsidRPr="00E60FA5" w:rsidRDefault="00E60FA5" w:rsidP="00E60FA5">
      <w:pPr>
        <w:spacing w:line="276" w:lineRule="auto"/>
        <w:ind w:left="426" w:right="-77"/>
        <w:jc w:val="center"/>
        <w:rPr>
          <w:b/>
          <w:bCs/>
          <w:sz w:val="22"/>
          <w:szCs w:val="22"/>
        </w:rPr>
      </w:pPr>
      <w:r w:rsidRPr="00E60FA5">
        <w:rPr>
          <w:b/>
          <w:bCs/>
          <w:sz w:val="22"/>
          <w:szCs w:val="22"/>
        </w:rPr>
        <w:t>ОБЩЕСТВО С ОГРАНИЧЕННОЙ</w:t>
      </w:r>
      <w:r>
        <w:rPr>
          <w:b/>
          <w:bCs/>
          <w:sz w:val="22"/>
          <w:szCs w:val="22"/>
        </w:rPr>
        <w:t xml:space="preserve"> </w:t>
      </w:r>
      <w:r w:rsidRPr="00E60FA5">
        <w:rPr>
          <w:b/>
          <w:bCs/>
          <w:sz w:val="22"/>
          <w:szCs w:val="22"/>
        </w:rPr>
        <w:t>ОТВЕТСТВЕННОСТЬЮ</w:t>
      </w:r>
    </w:p>
    <w:p w14:paraId="4B7DE9F4" w14:textId="77777777" w:rsidR="00E60FA5" w:rsidRDefault="00E60FA5" w:rsidP="00E60FA5">
      <w:pPr>
        <w:spacing w:line="276" w:lineRule="auto"/>
        <w:ind w:left="426" w:right="-77"/>
        <w:jc w:val="center"/>
        <w:rPr>
          <w:b/>
          <w:bCs/>
          <w:sz w:val="22"/>
          <w:szCs w:val="22"/>
        </w:rPr>
      </w:pPr>
      <w:r w:rsidRPr="00E60FA5">
        <w:rPr>
          <w:b/>
          <w:bCs/>
          <w:sz w:val="22"/>
          <w:szCs w:val="22"/>
        </w:rPr>
        <w:t>СПЕЦИАЛИЗИРОВАННЫЙ</w:t>
      </w:r>
      <w:r>
        <w:rPr>
          <w:b/>
          <w:bCs/>
          <w:sz w:val="22"/>
          <w:szCs w:val="22"/>
        </w:rPr>
        <w:t xml:space="preserve"> </w:t>
      </w:r>
      <w:r w:rsidRPr="00E60FA5">
        <w:rPr>
          <w:b/>
          <w:bCs/>
          <w:sz w:val="22"/>
          <w:szCs w:val="22"/>
        </w:rPr>
        <w:t xml:space="preserve">ЗАСТРОЙЩИК </w:t>
      </w:r>
    </w:p>
    <w:p w14:paraId="77A1F0DA" w14:textId="64594BB9" w:rsidR="006D7B6C" w:rsidRDefault="00E60FA5" w:rsidP="00E60FA5">
      <w:pPr>
        <w:spacing w:line="276" w:lineRule="auto"/>
        <w:ind w:left="426" w:right="-77"/>
        <w:jc w:val="center"/>
        <w:rPr>
          <w:b/>
          <w:bCs/>
          <w:sz w:val="22"/>
          <w:szCs w:val="22"/>
        </w:rPr>
      </w:pPr>
      <w:r w:rsidRPr="00E60FA5">
        <w:rPr>
          <w:b/>
          <w:bCs/>
          <w:sz w:val="22"/>
          <w:szCs w:val="22"/>
        </w:rPr>
        <w:t>"КОМПАНИЯ</w:t>
      </w:r>
      <w:r>
        <w:rPr>
          <w:b/>
          <w:bCs/>
          <w:sz w:val="22"/>
          <w:szCs w:val="22"/>
        </w:rPr>
        <w:t xml:space="preserve"> </w:t>
      </w:r>
      <w:r w:rsidRPr="00E60FA5">
        <w:rPr>
          <w:b/>
          <w:bCs/>
          <w:sz w:val="22"/>
          <w:szCs w:val="22"/>
        </w:rPr>
        <w:t>РУСАГРОСТРОЙ"</w:t>
      </w:r>
      <w:r w:rsidR="00F375D2" w:rsidRPr="00F375D2">
        <w:rPr>
          <w:b/>
          <w:bCs/>
          <w:sz w:val="22"/>
          <w:szCs w:val="22"/>
        </w:rPr>
        <w:cr/>
      </w:r>
    </w:p>
    <w:p w14:paraId="1AA1E1FE" w14:textId="23325F27"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E60FA5" w:rsidRPr="00E60FA5">
        <w:rPr>
          <w:b/>
          <w:bCs/>
          <w:sz w:val="22"/>
          <w:szCs w:val="22"/>
        </w:rPr>
        <w:t>1200004766</w:t>
      </w:r>
      <w:r w:rsidR="001D3991">
        <w:rPr>
          <w:b/>
          <w:bCs/>
          <w:sz w:val="22"/>
          <w:szCs w:val="22"/>
        </w:rPr>
        <w:t>/</w:t>
      </w:r>
      <w:r w:rsidR="00E60FA5" w:rsidRPr="00E60FA5">
        <w:rPr>
          <w:b/>
          <w:bCs/>
          <w:sz w:val="22"/>
          <w:szCs w:val="22"/>
        </w:rPr>
        <w:t>120001001</w:t>
      </w:r>
    </w:p>
    <w:p w14:paraId="2EBB030D" w14:textId="416C2E4E" w:rsidR="00E60FA5" w:rsidRPr="00E60FA5" w:rsidRDefault="001D3991" w:rsidP="00E60FA5">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E60FA5" w:rsidRPr="00E60FA5">
        <w:rPr>
          <w:bCs/>
          <w:iCs/>
          <w:sz w:val="22"/>
          <w:szCs w:val="22"/>
        </w:rPr>
        <w:t>424004,</w:t>
      </w:r>
      <w:r w:rsidR="00E60FA5">
        <w:rPr>
          <w:bCs/>
          <w:iCs/>
          <w:sz w:val="22"/>
          <w:szCs w:val="22"/>
        </w:rPr>
        <w:t xml:space="preserve"> </w:t>
      </w:r>
      <w:r w:rsidR="00E60FA5" w:rsidRPr="00E60FA5">
        <w:rPr>
          <w:bCs/>
          <w:iCs/>
          <w:sz w:val="22"/>
          <w:szCs w:val="22"/>
        </w:rPr>
        <w:t>РЕСПУБЛИКА МАРИЙ ЭЛ,</w:t>
      </w:r>
      <w:r w:rsidR="00E60FA5">
        <w:rPr>
          <w:bCs/>
          <w:iCs/>
          <w:sz w:val="22"/>
          <w:szCs w:val="22"/>
        </w:rPr>
        <w:t xml:space="preserve"> </w:t>
      </w:r>
      <w:r w:rsidR="00E60FA5" w:rsidRPr="00E60FA5">
        <w:rPr>
          <w:bCs/>
          <w:iCs/>
          <w:sz w:val="22"/>
          <w:szCs w:val="22"/>
        </w:rPr>
        <w:t>Г.О. ГОРОД ЙОШКАР-ОЛА,</w:t>
      </w:r>
    </w:p>
    <w:p w14:paraId="4F679E6C" w14:textId="464F6A8A" w:rsidR="00423DB7" w:rsidRPr="00423DB7" w:rsidRDefault="00E60FA5" w:rsidP="00E60FA5">
      <w:pPr>
        <w:spacing w:line="276" w:lineRule="auto"/>
        <w:ind w:left="426" w:right="-77"/>
        <w:jc w:val="center"/>
        <w:rPr>
          <w:b/>
          <w:sz w:val="22"/>
          <w:szCs w:val="22"/>
        </w:rPr>
      </w:pPr>
      <w:r w:rsidRPr="00E60FA5">
        <w:rPr>
          <w:bCs/>
          <w:iCs/>
          <w:sz w:val="22"/>
          <w:szCs w:val="22"/>
        </w:rPr>
        <w:t>Г ЙОШКАР-ОЛА,</w:t>
      </w:r>
      <w:r>
        <w:rPr>
          <w:bCs/>
          <w:iCs/>
          <w:sz w:val="22"/>
          <w:szCs w:val="22"/>
        </w:rPr>
        <w:t xml:space="preserve"> </w:t>
      </w:r>
      <w:r w:rsidRPr="00E60FA5">
        <w:rPr>
          <w:bCs/>
          <w:iCs/>
          <w:sz w:val="22"/>
          <w:szCs w:val="22"/>
        </w:rPr>
        <w:t>УЛ ЛЬВА ТОЛСТОГО,</w:t>
      </w:r>
      <w:r>
        <w:rPr>
          <w:bCs/>
          <w:iCs/>
          <w:sz w:val="22"/>
          <w:szCs w:val="22"/>
        </w:rPr>
        <w:t xml:space="preserve"> </w:t>
      </w:r>
      <w:r w:rsidRPr="00E60FA5">
        <w:rPr>
          <w:bCs/>
          <w:iCs/>
          <w:sz w:val="22"/>
          <w:szCs w:val="22"/>
        </w:rPr>
        <w:t>Д. 62,</w:t>
      </w:r>
      <w:r>
        <w:rPr>
          <w:bCs/>
          <w:iCs/>
          <w:sz w:val="22"/>
          <w:szCs w:val="22"/>
        </w:rPr>
        <w:t xml:space="preserve"> </w:t>
      </w:r>
      <w:r w:rsidRPr="00E60FA5">
        <w:rPr>
          <w:bCs/>
          <w:iCs/>
          <w:sz w:val="22"/>
          <w:szCs w:val="22"/>
        </w:rPr>
        <w:t>ПОМЕЩ. 1</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C873E" w14:textId="77777777" w:rsidR="00D76AFD" w:rsidRDefault="00D76AFD">
      <w:r>
        <w:separator/>
      </w:r>
    </w:p>
  </w:endnote>
  <w:endnote w:type="continuationSeparator" w:id="0">
    <w:p w14:paraId="3257C4F0" w14:textId="77777777" w:rsidR="00D76AFD" w:rsidRDefault="00D76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14428" w14:textId="77777777" w:rsidR="00D76AFD" w:rsidRDefault="00D76AFD">
      <w:r>
        <w:separator/>
      </w:r>
    </w:p>
  </w:footnote>
  <w:footnote w:type="continuationSeparator" w:id="0">
    <w:p w14:paraId="13F9D985" w14:textId="77777777" w:rsidR="00D76AFD" w:rsidRDefault="00D76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213E"/>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1126"/>
    <w:rsid w:val="002A69A1"/>
    <w:rsid w:val="002A73ED"/>
    <w:rsid w:val="002A7CD1"/>
    <w:rsid w:val="002C1295"/>
    <w:rsid w:val="002C2DED"/>
    <w:rsid w:val="002C3864"/>
    <w:rsid w:val="002C3A95"/>
    <w:rsid w:val="002C4F91"/>
    <w:rsid w:val="002C58A7"/>
    <w:rsid w:val="002D61A4"/>
    <w:rsid w:val="002E07B7"/>
    <w:rsid w:val="002E0A04"/>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441D"/>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66B37"/>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275C5"/>
    <w:rsid w:val="007337A5"/>
    <w:rsid w:val="00734777"/>
    <w:rsid w:val="00735BCA"/>
    <w:rsid w:val="00740B2F"/>
    <w:rsid w:val="00744BFC"/>
    <w:rsid w:val="007512C0"/>
    <w:rsid w:val="00751A8B"/>
    <w:rsid w:val="007577DF"/>
    <w:rsid w:val="00760AC8"/>
    <w:rsid w:val="007646CA"/>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20F2"/>
    <w:rsid w:val="00817B08"/>
    <w:rsid w:val="008201E1"/>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253D"/>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1488"/>
    <w:rsid w:val="00C727AA"/>
    <w:rsid w:val="00C739BC"/>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6AFD"/>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96152"/>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5</cp:revision>
  <cp:lastPrinted>2023-01-30T12:34:00Z</cp:lastPrinted>
  <dcterms:created xsi:type="dcterms:W3CDTF">2025-07-21T11:00:00Z</dcterms:created>
  <dcterms:modified xsi:type="dcterms:W3CDTF">2025-07-24T10:23:00Z</dcterms:modified>
</cp:coreProperties>
</file>